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5C" w:rsidRPr="00583E5C" w:rsidRDefault="00583E5C" w:rsidP="00583E5C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8" name="Picture 8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5C" w:rsidRPr="00583E5C" w:rsidRDefault="00583E5C" w:rsidP="00583E5C">
      <w:pPr>
        <w:shd w:val="clear" w:color="auto" w:fill="FFFFFF"/>
        <w:spacing w:after="0" w:line="510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Saif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bin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Zayed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comparece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à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conclusão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do 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Exercício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ABU DHABI,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Emirados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--(</w:t>
      </w:r>
      <w:hyperlink r:id="rId6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BUSINESS WIRE</w:t>
        </w:r>
      </w:hyperlink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)--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tenente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-general,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Alteza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Sheikh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, vice-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primeiro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compareceu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à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conclusão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primeiro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conjunto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Aliança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Internacional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(ISALEX19),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organizado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pelo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Ministério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 dos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Emirados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Cinquenta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representantes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forças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membros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Aliança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Internacional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participaram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tenente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-general,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Alteza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H Sheikh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foi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atualizado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pelos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líderes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equipes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táticas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sobre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condução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recebeu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análises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resultados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dos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planos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definidos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pelos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especialistas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baseados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um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caso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grande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ameaça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à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um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país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equipes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demonstraram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altos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níveis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profissionalismo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espírito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equipe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cooperarem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entre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si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apesar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ampla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participação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50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especialistas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membros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Aliança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Alteza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vice-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primeiro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revisou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parte das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contínuas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atividades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proofErr w:type="gram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observou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especialistas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equipes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táticas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coletarem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analisarem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informações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operações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para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evitar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ameaça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 à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. Durante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equipes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trocaram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informações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sobre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melhores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práticas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manejar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caso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hipotético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proofErr w:type="gram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Compareceram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evento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tenente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-general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Abdullah 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Sha’far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subsecretário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Ministério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Interior;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Excelência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tenente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-general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Dhahi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Khalfan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Tamin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, vice-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presidente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Polícia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Geral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Dubai; major-general Ahmed Nasser 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Raisi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inspetor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geral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Ministério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Interior; major-general Salem Ali Mubarak 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Shamsi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subsecretário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assistente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Recursos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Serviços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Apoio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; major-general Abdul Aziz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Maktoum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Shareefi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diretor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geral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Protetora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no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Ministério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Interior;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também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diretores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gerais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executivos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Ministério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Interior e das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Forças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Armadas,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líderes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membros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delegações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membros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diplomáticos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.</w:t>
      </w:r>
      <w:proofErr w:type="gramEnd"/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Conforme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caso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tinham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responder 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uma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ameaça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simulada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à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um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país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Eles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seguiram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uma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série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procedimentos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processos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compartilhamento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informações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entre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todas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equipes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mostraram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incrível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habilidade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profissionalismo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cuidar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evento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exercício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sublinha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</w:t>
      </w:r>
      <w:proofErr w:type="gram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importação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ação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conjunta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da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coordenação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global para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lutar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contra o crime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transnacional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permitirá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membros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da AIS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analisar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lições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mais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importantes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, para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desenvolver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adotar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melhores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práticas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policiamento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lastRenderedPageBreak/>
        <w:t>*Fonte: </w:t>
      </w:r>
      <w:hyperlink r:id="rId7" w:history="1">
        <w:r w:rsidRPr="00583E5C">
          <w:rPr>
            <w:rFonts w:ascii="Helvetica" w:eastAsia="Times New Roman" w:hAnsi="Helvetica" w:cs="Helvetica"/>
            <w:b/>
            <w:bCs/>
            <w:color w:val="79A2BD"/>
            <w:sz w:val="21"/>
            <w:szCs w:val="21"/>
            <w:u w:val="single"/>
          </w:rPr>
          <w:t>AETOSWire</w:t>
        </w:r>
      </w:hyperlink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no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idioma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original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deste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anúncio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é 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versão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oficial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autorizada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. As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traduções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fornecidas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apenas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como</w:t>
      </w:r>
      <w:proofErr w:type="spellEnd"/>
      <w:proofErr w:type="gram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uma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facilidade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devem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se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referir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ao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no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idioma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original, que é a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única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versão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do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que tem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efeito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legal.</w:t>
      </w:r>
    </w:p>
    <w:p w:rsidR="00583E5C" w:rsidRPr="00583E5C" w:rsidRDefault="00583E5C" w:rsidP="00583E5C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27"/>
          <w:szCs w:val="27"/>
        </w:rPr>
      </w:pPr>
      <w:r w:rsidRPr="00583E5C">
        <w:rPr>
          <w:rFonts w:ascii="Helvetica" w:eastAsia="Times New Roman" w:hAnsi="Helvetica" w:cs="Helvetica"/>
          <w:color w:val="9ECC38"/>
          <w:sz w:val="27"/>
          <w:szCs w:val="27"/>
        </w:rPr>
        <w:t>Contacts</w:t>
      </w: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Aliança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Internacional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de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Segurança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 </w:t>
      </w: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Raed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Al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Ajlouni</w:t>
      </w:r>
      <w:proofErr w:type="spellEnd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, </w:t>
      </w: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+971504702790 </w:t>
      </w: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ou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Amanda </w:t>
      </w:r>
      <w:proofErr w:type="spellStart"/>
      <w:r w:rsidRPr="00583E5C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Ayass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, +971567225338 </w:t>
      </w: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br/>
      </w:r>
      <w:hyperlink r:id="rId8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amanda@securitymedia.ae </w:t>
        </w:r>
      </w:hyperlink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Siga-nos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no: </w:t>
      </w:r>
      <w:hyperlink r:id="rId9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Twitter</w:t>
        </w:r>
      </w:hyperlink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0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Facebook</w:t>
        </w:r>
      </w:hyperlink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1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YouTube</w:t>
        </w:r>
      </w:hyperlink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2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Instagram</w:t>
        </w:r>
      </w:hyperlink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83E5C" w:rsidRPr="00583E5C" w:rsidRDefault="00583E5C" w:rsidP="00583E5C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Source: UAE Ministry of Interior</w:t>
      </w:r>
    </w:p>
    <w:p w:rsidR="00583E5C" w:rsidRPr="00583E5C" w:rsidRDefault="00583E5C" w:rsidP="00583E5C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29"/>
          <w:szCs w:val="29"/>
        </w:rPr>
      </w:pPr>
      <w:r w:rsidRPr="00583E5C">
        <w:rPr>
          <w:rFonts w:ascii="Helvetica" w:eastAsia="Times New Roman" w:hAnsi="Helvetica" w:cs="Helvetica"/>
          <w:color w:val="9ECC38"/>
          <w:sz w:val="29"/>
          <w:szCs w:val="29"/>
        </w:rPr>
        <w:t>Multimedia</w:t>
      </w:r>
    </w:p>
    <w:p w:rsidR="00583E5C" w:rsidRPr="00583E5C" w:rsidRDefault="00583E5C" w:rsidP="00583E5C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71525"/>
            <wp:effectExtent l="0" t="0" r="0" b="9525"/>
            <wp:docPr id="7" name="Picture 7" descr="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5" w:history="1">
        <w:r w:rsidRPr="00583E5C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7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Attends the Conclusion of ISALEX19 Exercise (Video: AETOSWire)</w:t>
      </w:r>
    </w:p>
    <w:p w:rsidR="00583E5C" w:rsidRPr="00583E5C" w:rsidRDefault="00583E5C" w:rsidP="00583E5C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800100"/>
            <wp:effectExtent l="0" t="0" r="0" b="0"/>
            <wp:docPr id="5" name="Picture 5" descr="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0" w:history="1">
        <w:r w:rsidRPr="00583E5C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2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Photo</w:t>
        </w:r>
      </w:hyperlink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HH Sheikh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583E5C">
        <w:rPr>
          <w:rFonts w:ascii="Helvetica" w:eastAsia="Times New Roman" w:hAnsi="Helvetica" w:cs="Helvetica"/>
          <w:color w:val="444444"/>
          <w:sz w:val="21"/>
          <w:szCs w:val="21"/>
        </w:rPr>
        <w:t xml:space="preserve"> in a group photo with ISALEX19 participants (Photo: AETOSWire)</w:t>
      </w:r>
    </w:p>
    <w:p w:rsidR="00583E5C" w:rsidRPr="00583E5C" w:rsidRDefault="00583E5C" w:rsidP="00583E5C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4" w:history="1">
        <w:r w:rsidRPr="00583E5C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6" w:history="1">
        <w:r w:rsidRPr="00583E5C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Logo</w:t>
        </w:r>
      </w:hyperlink>
    </w:p>
    <w:p w:rsidR="00583E5C" w:rsidRPr="00583E5C" w:rsidRDefault="00583E5C" w:rsidP="00583E5C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83E5C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Business Wir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77" w:rsidRDefault="00330177">
      <w:bookmarkStart w:id="0" w:name="_GoBack"/>
      <w:bookmarkEnd w:id="0"/>
    </w:p>
    <w:sectPr w:rsidR="0033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5C"/>
    <w:rsid w:val="00330177"/>
    <w:rsid w:val="005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DBE6-4F05-46BC-9CF5-80B2349F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3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3E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3E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053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2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66499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824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578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626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securitymedia.ae" TargetMode="External"/><Relationship Id="rId13" Type="http://schemas.openxmlformats.org/officeDocument/2006/relationships/hyperlink" Target="https://connect.businesswire.com/bwapps/mediaserver/PublicViewMedia?mgid=731085&amp;vid=3" TargetMode="External"/><Relationship Id="rId18" Type="http://schemas.openxmlformats.org/officeDocument/2006/relationships/hyperlink" Target="https://connect.businesswire.com/bwapps/mediaserver/PublicViewMedia?mgid=731066&amp;vid=4" TargetMode="External"/><Relationship Id="rId26" Type="http://schemas.openxmlformats.org/officeDocument/2006/relationships/hyperlink" Target="https://connect.businesswire.com/bwapps/mediaserver/PublicViewMedia?mgid=730846&amp;vid=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gif"/><Relationship Id="rId7" Type="http://schemas.openxmlformats.org/officeDocument/2006/relationships/hyperlink" Target="https://cts.businesswire.com/ct/CT?id=smartlink&amp;url=https%3A%2F%2Fwww.aetoswire.com%2Fnews%2F9060%2Fen&amp;esheet=52008301&amp;lan=pt-BR&amp;anchor=AETOSWire&amp;index=1&amp;md5=ce13146e66104a7a95f5c41085cbc53b" TargetMode="External"/><Relationship Id="rId12" Type="http://schemas.openxmlformats.org/officeDocument/2006/relationships/hyperlink" Target="https://cts.businesswire.com/ct/CT?id=smartlink&amp;url=https%3A%2F%2Fwww.instagram.com%2Fmoiuae%2F&amp;esheet=52008301&amp;lan=pt-BR&amp;anchor=Instagram&amp;index=5&amp;md5=27972e0ba7f204ae5f8b4cacda2cf2ce" TargetMode="External"/><Relationship Id="rId17" Type="http://schemas.openxmlformats.org/officeDocument/2006/relationships/hyperlink" Target="https://connect.businesswire.com/bwapps/mediaserver/PublicViewMedia?mgid=731085&amp;vid=3" TargetMode="External"/><Relationship Id="rId25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hyperlink" Target="https://connect.businesswire.com/bwapps/mediaserver/PublicViewMedia?mgid=731066&amp;vid=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youtube.com%2Fuser%2Ftheabudhabipolice&amp;esheet=52008301&amp;lan=pt-BR&amp;anchor=YouTube&amp;index=4&amp;md5=5bfd5b0298c793d58fc698389c1086cc" TargetMode="External"/><Relationship Id="rId24" Type="http://schemas.openxmlformats.org/officeDocument/2006/relationships/hyperlink" Target="https://connect.businesswire.com/bwapps/mediaserver/PublicViewMedia?mgid=730846&amp;vid=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nect.businesswire.com/bwapps/mediaserver/PublicViewMedia?mgid=731085&amp;vid=3" TargetMode="External"/><Relationship Id="rId23" Type="http://schemas.openxmlformats.org/officeDocument/2006/relationships/hyperlink" Target="https://connect.businesswire.com/bwapps/mediaserver/PublicViewMedia?mgid=730846&amp;vid=4" TargetMode="External"/><Relationship Id="rId28" Type="http://schemas.openxmlformats.org/officeDocument/2006/relationships/image" Target="media/image7.gif"/><Relationship Id="rId10" Type="http://schemas.openxmlformats.org/officeDocument/2006/relationships/hyperlink" Target="https://cts.businesswire.com/ct/CT?id=smartlink&amp;url=https%3A%2F%2Fwww.facebook.com%2FMOIUAE%2F&amp;esheet=52008301&amp;lan=pt-BR&amp;anchor=Facebook&amp;index=3&amp;md5=ac6af42784095814194effef8a1b63aa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twitter.com%2Fmoiuae&amp;esheet=52008301&amp;lan=pt-BR&amp;anchor=Twitter&amp;index=2&amp;md5=ebaa14bcdd45afcaabc84eebbfcd718d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connect.businesswire.com/bwapps/mediaserver/PublicViewMedia?mgid=731066&amp;vid=4" TargetMode="External"/><Relationship Id="rId27" Type="http://schemas.openxmlformats.org/officeDocument/2006/relationships/hyperlink" Target="http://www.businesswi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Manzana</dc:creator>
  <cp:keywords/>
  <dc:description/>
  <cp:lastModifiedBy>Melanie Manzana</cp:lastModifiedBy>
  <cp:revision>1</cp:revision>
  <dcterms:created xsi:type="dcterms:W3CDTF">2019-07-03T04:35:00Z</dcterms:created>
  <dcterms:modified xsi:type="dcterms:W3CDTF">2019-07-03T04:35:00Z</dcterms:modified>
</cp:coreProperties>
</file>