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94" w:rsidRPr="001B1594" w:rsidRDefault="001B1594" w:rsidP="001B1594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1216025"/>
            <wp:effectExtent l="0" t="0" r="0" b="3175"/>
            <wp:docPr id="8" name="Picture 8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94" w:rsidRPr="001B1594" w:rsidRDefault="001B1594" w:rsidP="001B1594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1B159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Saif</w:t>
      </w:r>
      <w:proofErr w:type="spellEnd"/>
      <w:r w:rsidRPr="001B159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bin </w:t>
      </w:r>
      <w:proofErr w:type="spellStart"/>
      <w:r w:rsidRPr="001B159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Zayed</w:t>
      </w:r>
      <w:proofErr w:type="spellEnd"/>
      <w:r w:rsidRPr="001B1594">
        <w:rPr>
          <w:rFonts w:ascii="Microsoft YaHei" w:eastAsia="Microsoft YaHei" w:hAnsi="Microsoft YaHei" w:cs="Microsoft YaHei" w:hint="eastAsia"/>
          <w:b/>
          <w:bCs/>
          <w:color w:val="444444"/>
          <w:spacing w:val="-2"/>
          <w:kern w:val="36"/>
          <w:sz w:val="36"/>
          <w:szCs w:val="36"/>
        </w:rPr>
        <w:t>出席</w:t>
      </w:r>
      <w:r w:rsidRPr="001B1594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ISALEX19</w:t>
      </w:r>
      <w:r w:rsidRPr="001B1594">
        <w:rPr>
          <w:rFonts w:ascii="Microsoft YaHei" w:eastAsia="Microsoft YaHei" w:hAnsi="Microsoft YaHei" w:cs="Microsoft YaHei" w:hint="eastAsia"/>
          <w:b/>
          <w:bCs/>
          <w:color w:val="444444"/>
          <w:spacing w:val="-2"/>
          <w:kern w:val="36"/>
          <w:sz w:val="36"/>
          <w:szCs w:val="36"/>
        </w:rPr>
        <w:t>演習結束活</w:t>
      </w:r>
      <w:r w:rsidRPr="001B1594">
        <w:rPr>
          <w:rFonts w:ascii="Microsoft YaHei" w:eastAsia="Microsoft YaHei" w:hAnsi="Microsoft YaHei" w:cs="Microsoft YaHei"/>
          <w:b/>
          <w:bCs/>
          <w:color w:val="444444"/>
          <w:spacing w:val="-2"/>
          <w:kern w:val="36"/>
          <w:sz w:val="36"/>
          <w:szCs w:val="36"/>
        </w:rPr>
        <w:t>動</w:t>
      </w: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阿聯阿布達比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--(</w:t>
      </w:r>
      <w:hyperlink r:id="rId6" w:history="1"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BUSINESS WIRE</w:t>
        </w:r>
      </w:hyperlink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)-- (</w:t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美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國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商業資訊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)--</w:t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由阿拉伯聯合大公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國內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政部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(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MoI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)</w:t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主辦的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國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際安全聯盟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(International Security Alliance, ISA)</w:t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首次聯合演習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(ISALEX19)</w:t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結束，阿聯副總理兼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內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政部長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Sheikh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Saif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bin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Zayed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Al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Nahyan</w:t>
      </w:r>
      <w:proofErr w:type="spell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中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將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殿下出席活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動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。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來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自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ISA</w:t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成員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國執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法機構的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50</w:t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名代表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參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加演習</w:t>
      </w:r>
      <w:r w:rsidRPr="001B1594">
        <w:rPr>
          <w:rFonts w:ascii="Microsoft YaHei" w:eastAsia="Microsoft YaHei" w:hAnsi="Microsoft YaHei" w:cs="Microsoft YaHei"/>
          <w:color w:val="444444"/>
          <w:sz w:val="24"/>
          <w:szCs w:val="24"/>
        </w:rPr>
        <w:t>。</w:t>
      </w: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Sheikh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Saif</w:t>
      </w:r>
      <w:proofErr w:type="spell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中將殿下聽取了參加演習的戰術小隊負責人所做的演習情況彙報，並收到演習結果分析，以及演習期間專家根據虛構國家中主要安全威脅情境所制定的計畫。雖然聯盟成員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國參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加演習的安全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專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家有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50</w:t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名之多，但各小組均表現出極高的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專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業水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準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與團隊合作精神</w:t>
      </w:r>
      <w:r w:rsidRPr="001B1594">
        <w:rPr>
          <w:rFonts w:ascii="Microsoft YaHei" w:eastAsia="Microsoft YaHei" w:hAnsi="Microsoft YaHei" w:cs="Microsoft YaHei"/>
          <w:color w:val="444444"/>
          <w:sz w:val="24"/>
          <w:szCs w:val="24"/>
        </w:rPr>
        <w:t>。</w:t>
      </w: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阿聯副總理兼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內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政部長殿下回顧了演習期間的部分活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動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，並觀看了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專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家和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戰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術小隊在行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動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期間收集和分析資訊以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對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抗虛構的安全威脅的情況。在演習期間，各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參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加小組就如何處理這種虛構的情境交流了最佳實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務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做法</w:t>
      </w:r>
      <w:r w:rsidRPr="001B1594">
        <w:rPr>
          <w:rFonts w:ascii="Microsoft YaHei" w:eastAsia="Microsoft YaHei" w:hAnsi="Microsoft YaHei" w:cs="Microsoft YaHei"/>
          <w:color w:val="444444"/>
          <w:sz w:val="24"/>
          <w:szCs w:val="24"/>
        </w:rPr>
        <w:t>。</w:t>
      </w: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出席活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動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的人士還有：阿聯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內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政部副部長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Saif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Abdullah Al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Sha</w:t>
      </w:r>
      <w:proofErr w:type="gram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’</w:t>
      </w:r>
      <w:proofErr w:type="gram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far</w:t>
      </w:r>
      <w:proofErr w:type="spell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中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將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、杜拜警察局和總保安局副局長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Dhahi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Khalfan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Tamim</w:t>
      </w:r>
      <w:proofErr w:type="spell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中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將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閣下；阿聯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內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政部總監察長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Ahmed Nasser Al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Raisi</w:t>
      </w:r>
      <w:proofErr w:type="spell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少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將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；資源和支援服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務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助理副部長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Salem Ali Mubarak Al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Shamsi</w:t>
      </w:r>
      <w:proofErr w:type="spell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少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將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；阿聯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內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政部防衛安全局長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Abdul Aziz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Maktoum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Al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Shareefi</w:t>
      </w:r>
      <w:proofErr w:type="spell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少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將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；以及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來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自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內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政部和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武裝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部隊的多位局長和官員、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參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與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國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代表團的負責人和成員，及外交機構成員等</w:t>
      </w:r>
      <w:r w:rsidRPr="001B1594">
        <w:rPr>
          <w:rFonts w:ascii="Microsoft YaHei" w:eastAsia="Microsoft YaHei" w:hAnsi="Microsoft YaHei" w:cs="Microsoft YaHei"/>
          <w:color w:val="444444"/>
          <w:sz w:val="24"/>
          <w:szCs w:val="24"/>
        </w:rPr>
        <w:t>。</w:t>
      </w: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根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據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設定的情境，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參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與人員必須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對一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個虛構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國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家中的模擬安全威脅做出回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應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。他們依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據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各小組之間共用的一套程序、流程和資訊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採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取行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動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，在處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理安全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事件時表現出出色的行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動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能力和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專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業水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準</w:t>
      </w:r>
      <w:proofErr w:type="gramEnd"/>
      <w:r w:rsidRPr="001B1594">
        <w:rPr>
          <w:rFonts w:ascii="Microsoft YaHei" w:eastAsia="Microsoft YaHei" w:hAnsi="Microsoft YaHei" w:cs="Microsoft YaHei"/>
          <w:color w:val="444444"/>
          <w:sz w:val="24"/>
          <w:szCs w:val="24"/>
        </w:rPr>
        <w:t>。</w:t>
      </w: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lastRenderedPageBreak/>
        <w:t>此次演習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凸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顯了在面臨跨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國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犯罪時聯合行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動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和全球合作的重要性，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ISA</w:t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成員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國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可藉此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對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最重要的經驗教訓進行分析，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從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而制定出最理想的安全和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警務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措施並加以落實</w:t>
      </w:r>
      <w:r w:rsidRPr="001B1594">
        <w:rPr>
          <w:rFonts w:ascii="Microsoft YaHei" w:eastAsia="Microsoft YaHei" w:hAnsi="Microsoft YaHei" w:cs="Microsoft YaHei"/>
          <w:color w:val="444444"/>
          <w:sz w:val="24"/>
          <w:szCs w:val="24"/>
        </w:rPr>
        <w:t>。</w:t>
      </w: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*</w:t>
      </w:r>
      <w:r w:rsidRPr="001B1594">
        <w:rPr>
          <w:rFonts w:ascii="Microsoft YaHei" w:eastAsia="Microsoft YaHei" w:hAnsi="Microsoft YaHei" w:cs="Microsoft YaHei" w:hint="eastAsia"/>
          <w:b/>
          <w:bCs/>
          <w:color w:val="444444"/>
          <w:sz w:val="24"/>
          <w:szCs w:val="24"/>
        </w:rPr>
        <w:t>來源：</w:t>
      </w:r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fldChar w:fldCharType="begin"/>
      </w:r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instrText xml:space="preserve"> HYPERLINK "https://cts.businesswire.com/ct/CT?id=smartlink&amp;url=https%3A%2F%2Fwww.aetoswire.com%2Fnews%2F9060%2Fen&amp;esheet=52008301&amp;lan=zh-HK&amp;anchor=AETOSWire&amp;index=1&amp;md5=0c22dfc228a46f2bd6f68feddbe6f74f" </w:instrText>
      </w:r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fldChar w:fldCharType="separate"/>
      </w:r>
      <w:proofErr w:type="spellStart"/>
      <w:r w:rsidRPr="001B1594">
        <w:rPr>
          <w:rFonts w:ascii="Helvetica" w:eastAsia="Times New Roman" w:hAnsi="Helvetica" w:cs="Helvetica"/>
          <w:b/>
          <w:bCs/>
          <w:color w:val="79A2BD"/>
          <w:sz w:val="24"/>
          <w:szCs w:val="24"/>
          <w:u w:val="single"/>
        </w:rPr>
        <w:t>AETOSWire</w:t>
      </w:r>
      <w:proofErr w:type="spellEnd"/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fldChar w:fldCharType="end"/>
      </w: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免責聲明：本公告之原文版本乃官方授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權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版本。譯文僅供方便瞭解之用，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煩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請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參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照原文，原文版本</w:t>
      </w:r>
      <w:proofErr w:type="gramStart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乃唯一</w:t>
      </w:r>
      <w:proofErr w:type="gram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具法律效力之版本。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 </w:t>
      </w:r>
    </w:p>
    <w:p w:rsidR="001B1594" w:rsidRPr="001B1594" w:rsidRDefault="001B1594" w:rsidP="001B1594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31"/>
          <w:szCs w:val="31"/>
        </w:rPr>
      </w:pPr>
      <w:r w:rsidRPr="001B1594">
        <w:rPr>
          <w:rFonts w:ascii="Helvetica" w:eastAsia="Times New Roman" w:hAnsi="Helvetica" w:cs="Helvetica"/>
          <w:color w:val="9ECC38"/>
          <w:sz w:val="31"/>
          <w:szCs w:val="31"/>
        </w:rPr>
        <w:t>Contacts</w:t>
      </w: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gramStart"/>
      <w:r w:rsidRPr="001B1594">
        <w:rPr>
          <w:rFonts w:ascii="Microsoft YaHei" w:eastAsia="Microsoft YaHei" w:hAnsi="Microsoft YaHei" w:cs="Microsoft YaHei" w:hint="eastAsia"/>
          <w:b/>
          <w:bCs/>
          <w:color w:val="444444"/>
          <w:sz w:val="24"/>
          <w:szCs w:val="24"/>
        </w:rPr>
        <w:t>國</w:t>
      </w:r>
      <w:proofErr w:type="gramEnd"/>
      <w:r w:rsidRPr="001B1594">
        <w:rPr>
          <w:rFonts w:ascii="Microsoft YaHei" w:eastAsia="Microsoft YaHei" w:hAnsi="Microsoft YaHei" w:cs="Microsoft YaHei" w:hint="eastAsia"/>
          <w:b/>
          <w:bCs/>
          <w:color w:val="444444"/>
          <w:sz w:val="24"/>
          <w:szCs w:val="24"/>
        </w:rPr>
        <w:t>際安全聯盟</w:t>
      </w:r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 </w:t>
      </w:r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br/>
      </w:r>
      <w:proofErr w:type="spellStart"/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Raed</w:t>
      </w:r>
      <w:proofErr w:type="spellEnd"/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 Al </w:t>
      </w:r>
      <w:proofErr w:type="spellStart"/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Ajlouni</w:t>
      </w:r>
      <w:proofErr w:type="spellEnd"/>
      <w:r w:rsidRPr="001B1594">
        <w:rPr>
          <w:rFonts w:ascii="Microsoft YaHei" w:eastAsia="Microsoft YaHei" w:hAnsi="Microsoft YaHei" w:cs="Microsoft YaHei" w:hint="eastAsia"/>
          <w:b/>
          <w:bCs/>
          <w:color w:val="444444"/>
          <w:sz w:val="24"/>
          <w:szCs w:val="24"/>
        </w:rPr>
        <w:t>，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+971504702790 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或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 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Amanda </w:t>
      </w:r>
      <w:proofErr w:type="spellStart"/>
      <w:r w:rsidRPr="001B1594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Ayass</w:t>
      </w:r>
      <w:proofErr w:type="spellEnd"/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，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+971567225338 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br/>
      </w:r>
      <w:hyperlink r:id="rId7" w:history="1"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amanda@securitymedia.ae </w:t>
        </w:r>
      </w:hyperlink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1B1594">
        <w:rPr>
          <w:rFonts w:ascii="Microsoft YaHei" w:eastAsia="Microsoft YaHei" w:hAnsi="Microsoft YaHei" w:cs="Microsoft YaHei" w:hint="eastAsia"/>
          <w:color w:val="444444"/>
          <w:sz w:val="24"/>
          <w:szCs w:val="24"/>
        </w:rPr>
        <w:t>請用以下方式關注我們：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fldChar w:fldCharType="begin"/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instrText xml:space="preserve"> HYPERLINK "https://cts.businesswire.com/ct/CT?id=smartlink&amp;url=https%3A%2F%2Ftwitter.com%2Fmoiuae&amp;esheet=52008301&amp;lan=zh-HK&amp;anchor=Twitter&amp;index=2&amp;md5=4425682e94b8ee87911746cdf54b6482" </w:instrTex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fldChar w:fldCharType="separate"/>
      </w:r>
      <w:r w:rsidRPr="001B1594">
        <w:rPr>
          <w:rFonts w:ascii="Helvetica" w:eastAsia="Times New Roman" w:hAnsi="Helvetica" w:cs="Helvetica"/>
          <w:color w:val="79A2BD"/>
          <w:sz w:val="24"/>
          <w:szCs w:val="24"/>
          <w:u w:val="single"/>
        </w:rPr>
        <w:t>Twitter</w:t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fldChar w:fldCharType="end"/>
      </w: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 | </w:t>
      </w:r>
      <w:hyperlink r:id="rId8" w:history="1"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Facebook</w:t>
        </w:r>
      </w:hyperlink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 | </w:t>
      </w:r>
      <w:hyperlink r:id="rId9" w:history="1"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YouTube</w:t>
        </w:r>
      </w:hyperlink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 | </w:t>
      </w:r>
      <w:hyperlink r:id="rId10" w:history="1"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Instagram</w:t>
        </w:r>
      </w:hyperlink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 </w:t>
      </w:r>
    </w:p>
    <w:p w:rsidR="001B1594" w:rsidRPr="001B1594" w:rsidRDefault="001B1594" w:rsidP="001B159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1B1594" w:rsidRPr="001B1594" w:rsidRDefault="001B1594" w:rsidP="001B1594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Source: UAE Ministry of Interior</w:t>
      </w:r>
    </w:p>
    <w:p w:rsidR="001B1594" w:rsidRPr="001B1594" w:rsidRDefault="001B1594" w:rsidP="001B1594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34"/>
          <w:szCs w:val="34"/>
        </w:rPr>
      </w:pPr>
      <w:r w:rsidRPr="001B1594">
        <w:rPr>
          <w:rFonts w:ascii="Helvetica" w:eastAsia="Times New Roman" w:hAnsi="Helvetica" w:cs="Helvetica"/>
          <w:color w:val="9ECC38"/>
          <w:sz w:val="34"/>
          <w:szCs w:val="34"/>
        </w:rPr>
        <w:t>Multimedia</w:t>
      </w:r>
    </w:p>
    <w:p w:rsidR="001B1594" w:rsidRPr="001B1594" w:rsidRDefault="001B1594" w:rsidP="001B1594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768985"/>
            <wp:effectExtent l="0" t="0" r="0" b="0"/>
            <wp:docPr id="7" name="Picture 7" descr="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94" w:rsidRPr="001B1594" w:rsidRDefault="001B1594" w:rsidP="001B159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13" w:history="1">
        <w:r w:rsidRPr="001B1594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5575" cy="155575"/>
              <wp:effectExtent l="0" t="0" r="0" b="0"/>
              <wp:docPr id="6" name="Picture 6" descr=" 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15" w:history="1"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Video</w:t>
        </w:r>
      </w:hyperlink>
    </w:p>
    <w:p w:rsidR="001B1594" w:rsidRPr="001B1594" w:rsidRDefault="001B1594" w:rsidP="001B159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Saif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bin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Zayed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Attends the Conclusion of ISALEX19 Exercise (Video: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1B1594" w:rsidRPr="001B1594" w:rsidRDefault="001B1594" w:rsidP="001B1594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800100"/>
            <wp:effectExtent l="0" t="0" r="0" b="0"/>
            <wp:docPr id="5" name="Picture 5" descr=" 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94" w:rsidRPr="001B1594" w:rsidRDefault="001B1594" w:rsidP="001B159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18" w:history="1">
        <w:r w:rsidRPr="001B1594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5575" cy="155575"/>
              <wp:effectExtent l="0" t="0" r="0" b="0"/>
              <wp:docPr id="4" name="Picture 4" descr=" 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20" w:history="1"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Photo</w:t>
        </w:r>
      </w:hyperlink>
    </w:p>
    <w:p w:rsidR="001B1594" w:rsidRPr="001B1594" w:rsidRDefault="001B1594" w:rsidP="001B159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HH Sheikh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Saif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bin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Zayed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Al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Nahyan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 xml:space="preserve"> in a group photo with ISALEX19 participants (Photo: </w:t>
      </w:r>
      <w:proofErr w:type="spellStart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1B1594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1B1594" w:rsidRPr="001B1594" w:rsidRDefault="001B1594" w:rsidP="001B1594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noProof/>
          <w:color w:val="79A2BD"/>
          <w:sz w:val="24"/>
          <w:szCs w:val="24"/>
        </w:rPr>
        <w:lastRenderedPageBreak/>
        <w:drawing>
          <wp:inline distT="0" distB="0" distL="0" distR="0">
            <wp:extent cx="1371600" cy="1216025"/>
            <wp:effectExtent l="0" t="0" r="0" b="3175"/>
            <wp:docPr id="3" name="Picture 3" descr=" 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94" w:rsidRPr="001B1594" w:rsidRDefault="001B1594" w:rsidP="001B159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22" w:history="1">
        <w:r w:rsidRPr="001B1594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5575" cy="155575"/>
              <wp:effectExtent l="0" t="0" r="0" b="0"/>
              <wp:docPr id="2" name="Picture 2" descr=" 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24" w:history="1">
        <w:r w:rsidRPr="001B1594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Logo</w:t>
        </w:r>
      </w:hyperlink>
    </w:p>
    <w:p w:rsidR="001B1594" w:rsidRPr="001B1594" w:rsidRDefault="001B1594" w:rsidP="001B1594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1B1594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038860" cy="353060"/>
            <wp:effectExtent l="0" t="0" r="8890" b="8890"/>
            <wp:docPr id="1" name="Picture 1" descr="Powered by Business Wir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wered by Business Wir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15" w:rsidRDefault="00FD1415">
      <w:bookmarkStart w:id="0" w:name="_GoBack"/>
      <w:bookmarkEnd w:id="0"/>
    </w:p>
    <w:sectPr w:rsidR="00FD1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94"/>
    <w:rsid w:val="001B1594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9B5EB-DFA8-49C1-A9B8-9D7FD1D2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1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15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B15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348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5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55309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78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224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451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4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www.facebook.com%2FMOIUAE%2F&amp;esheet=52008301&amp;lan=zh-HK&amp;anchor=Facebook&amp;index=3&amp;md5=c1ef7602cd4939ff2da777561d24fe36" TargetMode="External"/><Relationship Id="rId13" Type="http://schemas.openxmlformats.org/officeDocument/2006/relationships/hyperlink" Target="https://connect.businesswire.com/bwapps/mediaserver/PublicViewMedia?mgid=731085&amp;vid=3" TargetMode="External"/><Relationship Id="rId18" Type="http://schemas.openxmlformats.org/officeDocument/2006/relationships/hyperlink" Target="https://connect.businesswire.com/bwapps/mediaserver/PublicViewMedia?mgid=731066&amp;vid=4" TargetMode="External"/><Relationship Id="rId26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hyperlink" Target="https://connect.businesswire.com/bwapps/mediaserver/PublicViewMedia?mgid=730846&amp;vid=4" TargetMode="External"/><Relationship Id="rId7" Type="http://schemas.openxmlformats.org/officeDocument/2006/relationships/hyperlink" Target="mailto:amanda@securitymedia.ae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4.jpeg"/><Relationship Id="rId25" Type="http://schemas.openxmlformats.org/officeDocument/2006/relationships/hyperlink" Target="http://www.businesswir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1066&amp;vid=4" TargetMode="External"/><Relationship Id="rId20" Type="http://schemas.openxmlformats.org/officeDocument/2006/relationships/hyperlink" Target="https://connect.businesswire.com/bwapps/mediaserver/PublicViewMedia?mgid=731066&amp;vid=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onnect.businesswire.com/bwapps/mediaserver/PublicViewMedia?mgid=731085&amp;vid=3" TargetMode="External"/><Relationship Id="rId24" Type="http://schemas.openxmlformats.org/officeDocument/2006/relationships/hyperlink" Target="https://connect.businesswire.com/bwapps/mediaserver/PublicViewMedia?mgid=730846&amp;vid=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nect.businesswire.com/bwapps/mediaserver/PublicViewMedia?mgid=731085&amp;vid=3" TargetMode="External"/><Relationship Id="rId23" Type="http://schemas.openxmlformats.org/officeDocument/2006/relationships/image" Target="media/image6.gif"/><Relationship Id="rId28" Type="http://schemas.openxmlformats.org/officeDocument/2006/relationships/theme" Target="theme/theme1.xml"/><Relationship Id="rId10" Type="http://schemas.openxmlformats.org/officeDocument/2006/relationships/hyperlink" Target="https://cts.businesswire.com/ct/CT?id=smartlink&amp;url=https%3A%2F%2Fwww.instagram.com%2Fmoiuae%2F&amp;esheet=52008301&amp;lan=zh-HK&amp;anchor=Instagram&amp;index=5&amp;md5=688389ecba7591df4c617fce0ef4f37d" TargetMode="External"/><Relationship Id="rId19" Type="http://schemas.openxmlformats.org/officeDocument/2006/relationships/image" Target="media/image5.gif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youtube.com%2Fuser%2Ftheabudhabipolice&amp;esheet=52008301&amp;lan=zh-HK&amp;anchor=YouTube&amp;index=4&amp;md5=16d3181bb5599ce22e9081bfbfd4acc1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s://connect.businesswire.com/bwapps/mediaserver/PublicViewMedia?mgid=730846&amp;vid=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Dunlap</dc:creator>
  <cp:keywords/>
  <dc:description/>
  <cp:lastModifiedBy>Chip Dunlap</cp:lastModifiedBy>
  <cp:revision>1</cp:revision>
  <dcterms:created xsi:type="dcterms:W3CDTF">2019-07-03T10:05:00Z</dcterms:created>
  <dcterms:modified xsi:type="dcterms:W3CDTF">2019-07-03T10:06:00Z</dcterms:modified>
</cp:coreProperties>
</file>