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28" w:rsidRPr="005E3628" w:rsidRDefault="005E3628" w:rsidP="005E36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5555" cy="137541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28" w:rsidRPr="005E3628" w:rsidRDefault="005E3628" w:rsidP="005E3628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El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Custodio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 las Dos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Mezquitas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Sagradas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asiste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a la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ceremonia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apertura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 Al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proofErr w:type="spellEnd"/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RIAD, Arabia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5E3628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Custodio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las Dos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Mezquitas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el Rey Salman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 Saud,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asistió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ceremonia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apertura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Festival Nacional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Patrimonio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33.ª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edición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organizado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Ministerio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Guardia Nacional de Arabia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que se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celebró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ayer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tarde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bajo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lema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fidelidad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lealtad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>”.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llegada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sede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festival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el Rey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fue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recibido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Real el Príncipe Faisal Bin Bandar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gobernador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región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Riad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Real el Príncipe Mohammed bin Abdul Rahman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Príncipe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sustituto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región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Riad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Príncipe Khalid Bin Abdul Aziz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Guardia Nacional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Comité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Festival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Príncipe Mohammed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supervisor general del Festival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Sr. Abdul Mohsen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Al-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Tuwaijri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viceministro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Guardia Nacional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vicepresidente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Comité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Festival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gran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cantidad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funcionarios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Custodio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las Dos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Mezquitas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recibió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Jeque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Nawaf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Al-Ahmad Al-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Jaber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Al-Sabah, Príncipe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Heredero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Kuwait; a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Jeque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Abdullah bin Hamad bin Isa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Khalifa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representante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personal de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Majestad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Rey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Bahréin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; a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Jeque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Abdullah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Asuntos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Exteriores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Cooperación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Internacional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a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Sayyid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Shihab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bin Tariq Al Said,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asesor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Majestad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Sultán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Omán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Luego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comenzó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carrera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Annual Grand Camel y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Custodio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las Dos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Mezquitas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entregó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premios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cinco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primeros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ganadores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carrera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distinguió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patrocinadores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Posteriormente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se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llevó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cabo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cena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celebración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ceremonia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oratoria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artística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que se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realizó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sala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cerrada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ceremonia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comenzó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con un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discurso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emitido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Su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Príncipe Khalid Bin Abdul Aziz bin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Guardia Nacional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Comité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Festival Nacional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Patrimonio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que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confirmó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que el festival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festival principal del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país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foro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reflexión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presentó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Indonesia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país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invitado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honor.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coordinadora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Desarrollo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Humano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República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Indonesia,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Puan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Maharani,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discurso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nombre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gobierno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habitantes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República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Indonesia,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expresar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sincero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agradecimiento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aprecio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Custodio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las Dos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Mezquitas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Después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discursos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Custodio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las Dos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Mezquitas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también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condecoró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 las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personalidades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sauditas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año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con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entrega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Medalla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primer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Grado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Rey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tarde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poeta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Teniente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Mashaal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Harthy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recitó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poema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seguido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presentación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artística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opereta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titulada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Tidlal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Watan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” con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actuación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artistas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Mohammed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Abdo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Rashed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Al Majid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Mazal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Farhan.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b/>
          <w:bCs/>
          <w:color w:val="000000"/>
          <w:sz w:val="24"/>
          <w:szCs w:val="24"/>
        </w:rPr>
        <w:t>*Fuente: 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5E3628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"https://cts.businesswire.com/ct/CT?id=smartlink&amp;url=https%3A%2F%2Fwww.aetoswire.com%2Fnews%2F7710%2Fen&amp;esheet=51918056&amp;newsitemid=0&amp;lan=es-AR&amp;anchor=AETOSWire&amp;index=1&amp;md5=c707d53b894d8e26b0f50efa0ec8f326" </w:instrText>
      </w:r>
      <w:r w:rsidRPr="005E3628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5E3628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5E3628" w:rsidRPr="005E3628" w:rsidRDefault="005E3628" w:rsidP="005E36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fuente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comunicado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versión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autorizada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. Las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traducciones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solo se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suministran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proofErr w:type="gram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adaptación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deben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cotejarse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con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fuente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, que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única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versión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tendrá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efecto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legal.</w:t>
      </w:r>
    </w:p>
    <w:p w:rsidR="005E3628" w:rsidRPr="005E3628" w:rsidRDefault="005E3628" w:rsidP="005E3628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5E3628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3628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E3628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5E36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5E3628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5E362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5E3628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3628" w:rsidRPr="005E3628" w:rsidRDefault="005E3628" w:rsidP="005E3628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5E3628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5E3628" w:rsidRPr="005E3628" w:rsidRDefault="005E3628" w:rsidP="005E3628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5E3628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5E3628" w:rsidRPr="005E3628" w:rsidRDefault="005E3628" w:rsidP="005E3628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5E3628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1016635"/>
            <wp:effectExtent l="0" t="0" r="0" b="0"/>
            <wp:docPr id="9" name="Picture 9" descr="https://mms.businesswire.com/media/newsItemId/es/697133/3/Picture_One_%28Photo_AETOSWire%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es/697133/3/Picture_One_%28Photo_AETOSWire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0" w:history="1">
        <w:r w:rsidRPr="005E3628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8" name="Picture 8" descr="http://www.businesswire.com/images/icons/icon_photo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2" w:history="1"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E3628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5E3628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17"/>
          <w:szCs w:val="17"/>
        </w:rPr>
        <w:t xml:space="preserve"> Al Saud (Photo: </w:t>
      </w:r>
      <w:proofErr w:type="spellStart"/>
      <w:r w:rsidRPr="005E3628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5E3628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5E3628" w:rsidRPr="005E3628" w:rsidRDefault="005E3628" w:rsidP="005E3628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5E3628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5410" cy="922020"/>
            <wp:effectExtent l="0" t="0" r="0" b="0"/>
            <wp:docPr id="7" name="Picture 7" descr="https://mms.businesswire.com/media/newsItemId/es/697135/3/Picture_Two_%28Photo_AETOSWire%2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es/697135/3/Picture_Two_%28Photo_AETOSWire%2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5E3628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6" name="Picture 6" descr="http://www.businesswire.com/images/icons/icon_photo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6" w:history="1"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E3628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5E3628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5E3628">
        <w:rPr>
          <w:rFonts w:ascii="Arial" w:eastAsia="Times New Roman" w:hAnsi="Arial" w:cs="Arial"/>
          <w:color w:val="000000"/>
          <w:sz w:val="17"/>
          <w:szCs w:val="17"/>
        </w:rPr>
        <w:t xml:space="preserve"> Al Saud taking part in performances at opening ceremony of 33rd Edition of Al </w:t>
      </w:r>
      <w:proofErr w:type="spellStart"/>
      <w:r w:rsidRPr="005E3628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17"/>
          <w:szCs w:val="17"/>
        </w:rPr>
        <w:t xml:space="preserve"> (Photo: </w:t>
      </w:r>
      <w:proofErr w:type="spellStart"/>
      <w:r w:rsidRPr="005E3628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5E3628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5E3628" w:rsidRPr="005E3628" w:rsidRDefault="005E3628" w:rsidP="005E3628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5E3628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746125"/>
            <wp:effectExtent l="0" t="0" r="0" b="0"/>
            <wp:docPr id="5" name="Picture 5" descr="https://mms.businesswire.com/media/newsItemId/es/697134/3/Picture_Three_%28Photo_AETOSWire%2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es/697134/3/Picture_Three_%28Photo_AETOSWire%2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9" w:history="1">
        <w:r w:rsidRPr="005E3628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4" name="Picture 4" descr="http://www.businesswire.com/images/icons/icon_photo.gif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0" w:history="1"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E3628">
        <w:rPr>
          <w:rFonts w:ascii="Arial" w:eastAsia="Times New Roman" w:hAnsi="Arial" w:cs="Arial"/>
          <w:color w:val="000000"/>
          <w:sz w:val="17"/>
          <w:szCs w:val="17"/>
        </w:rPr>
        <w:t xml:space="preserve">Performance from opening ceremony of 33rd Edition of </w:t>
      </w:r>
      <w:proofErr w:type="spellStart"/>
      <w:r w:rsidRPr="005E3628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5E3628">
        <w:rPr>
          <w:rFonts w:ascii="Arial" w:eastAsia="Times New Roman" w:hAnsi="Arial" w:cs="Arial"/>
          <w:color w:val="000000"/>
          <w:sz w:val="17"/>
          <w:szCs w:val="17"/>
        </w:rPr>
        <w:t xml:space="preserve"> (Photo: </w:t>
      </w:r>
      <w:proofErr w:type="spellStart"/>
      <w:r w:rsidRPr="005E3628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5E3628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5E3628" w:rsidRPr="005E3628" w:rsidRDefault="005E3628" w:rsidP="005E3628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5E3628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5555" cy="1375410"/>
            <wp:effectExtent l="0" t="0" r="0" b="0"/>
            <wp:docPr id="3" name="Picture 3" descr="https://mms.businesswire.com/media/newsItemId/es/696278/3/AL_JANADRIYAH__LOGO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es/696278/3/AL_JANADRIYAH__LOGO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2" w:history="1">
        <w:r w:rsidRPr="005E3628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2" name="Picture 2" descr="http://www.businesswire.com/images/icons/icon_logo.gi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4" w:history="1">
        <w:r w:rsidRPr="005E3628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5E3628" w:rsidRPr="005E3628" w:rsidRDefault="005E3628" w:rsidP="005E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3628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860" cy="351155"/>
            <wp:effectExtent l="0" t="0" r="8890" b="0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F4" w:rsidRDefault="005E3628"/>
    <w:sectPr w:rsidR="00EF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28"/>
    <w:rsid w:val="00213CF7"/>
    <w:rsid w:val="005E3628"/>
    <w:rsid w:val="00E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2B08A-D108-4C21-92C2-82C322D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3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36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E36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299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64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9436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8403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3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00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715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03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9153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businesswire.com/media/newsItemId/es/697133/4/Picture_One_%28Photo_AETOSWire%29.jpg" TargetMode="External"/><Relationship Id="rId13" Type="http://schemas.openxmlformats.org/officeDocument/2006/relationships/hyperlink" Target="https://mms.businesswire.com/media/newsItemId/es/697135/4/Picture_Two_%28Photo_AETOSWire%29.jpg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es/696278/4/AL_JANADRIYAH__LOGO.jpg" TargetMode="External"/><Relationship Id="rId7" Type="http://schemas.openxmlformats.org/officeDocument/2006/relationships/hyperlink" Target="mailto:Reham.barakat@pyramedia.biz" TargetMode="External"/><Relationship Id="rId12" Type="http://schemas.openxmlformats.org/officeDocument/2006/relationships/hyperlink" Target="https://mms.businesswire.com/media/newsItemId/es/697133/4/Picture_One_%28Photo_AETOSWire%29.jpg" TargetMode="External"/><Relationship Id="rId17" Type="http://schemas.openxmlformats.org/officeDocument/2006/relationships/hyperlink" Target="https://mms.businesswire.com/media/newsItemId/es/697134/4/Picture_Three_%28Photo_AETOSWire%29.jpg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es/697135/4/Picture_Two_%28Photo_AETOSWire%29.jpg" TargetMode="External"/><Relationship Id="rId20" Type="http://schemas.openxmlformats.org/officeDocument/2006/relationships/hyperlink" Target="https://mms.businesswire.com/media/newsItemId/es/697134/4/Picture_Three_%28Photo_AETOSWire%2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mms.businesswire.com/media/newsItemId/es/696278/4/AL_JANADRIYAH__LOGO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es/697135/4/Picture_Two_%28Photo_AETOSWire%29.jpg" TargetMode="External"/><Relationship Id="rId23" Type="http://schemas.openxmlformats.org/officeDocument/2006/relationships/image" Target="media/image6.gif"/><Relationship Id="rId10" Type="http://schemas.openxmlformats.org/officeDocument/2006/relationships/hyperlink" Target="https://mms.businesswire.com/media/newsItemId/es/697133/4/Picture_One_%28Photo_AETOSWire%29.jpg" TargetMode="External"/><Relationship Id="rId19" Type="http://schemas.openxmlformats.org/officeDocument/2006/relationships/hyperlink" Target="https://mms.businesswire.com/media/newsItemId/es/697134/4/Picture_Three_%28Photo_AETOSWire%29.jpg" TargetMode="Externa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mms.businesswire.com/media/newsItemId/es/696278/4/AL_JANADRIYAH__LOGO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Holmgreen</dc:creator>
  <cp:keywords/>
  <dc:description/>
  <cp:lastModifiedBy>Mikala Holmgreen</cp:lastModifiedBy>
  <cp:revision>1</cp:revision>
  <dcterms:created xsi:type="dcterms:W3CDTF">2018-12-22T00:31:00Z</dcterms:created>
  <dcterms:modified xsi:type="dcterms:W3CDTF">2018-12-22T00:32:00Z</dcterms:modified>
</cp:coreProperties>
</file>